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41DE" w14:textId="679D2F17" w:rsidR="001A38D3" w:rsidRPr="001A38D3" w:rsidRDefault="001A38D3" w:rsidP="00C23C50">
      <w:pPr>
        <w:tabs>
          <w:tab w:val="left" w:pos="2263"/>
        </w:tabs>
        <w:ind w:left="6663"/>
        <w:jc w:val="right"/>
        <w:rPr>
          <w:sz w:val="22"/>
          <w:szCs w:val="22"/>
        </w:rPr>
      </w:pPr>
      <w:bookmarkStart w:id="0" w:name="_Toc429484266"/>
      <w:r w:rsidRPr="001A38D3">
        <w:rPr>
          <w:sz w:val="22"/>
          <w:szCs w:val="22"/>
        </w:rPr>
        <w:t>Pielikums Nr.</w:t>
      </w:r>
      <w:r w:rsidR="00C23C50">
        <w:rPr>
          <w:sz w:val="22"/>
          <w:szCs w:val="22"/>
        </w:rPr>
        <w:t>3</w:t>
      </w:r>
      <w:r w:rsidRPr="001A38D3">
        <w:rPr>
          <w:sz w:val="22"/>
          <w:szCs w:val="22"/>
        </w:rPr>
        <w:t xml:space="preserve"> </w:t>
      </w:r>
    </w:p>
    <w:p w14:paraId="71774D69" w14:textId="77777777" w:rsidR="001A38D3" w:rsidRPr="001A38D3" w:rsidRDefault="001A38D3" w:rsidP="001A38D3">
      <w:pPr>
        <w:jc w:val="center"/>
        <w:outlineLvl w:val="0"/>
        <w:rPr>
          <w:b/>
          <w:bCs/>
          <w:sz w:val="28"/>
          <w:lang w:val="x-none" w:eastAsia="x-none"/>
        </w:rPr>
      </w:pPr>
    </w:p>
    <w:p w14:paraId="08E19DAC" w14:textId="77777777" w:rsidR="001A38D3" w:rsidRPr="001A38D3" w:rsidRDefault="001A38D3" w:rsidP="001A38D3">
      <w:pPr>
        <w:jc w:val="center"/>
        <w:outlineLvl w:val="0"/>
        <w:rPr>
          <w:b/>
          <w:bCs/>
          <w:sz w:val="28"/>
          <w:lang w:val="x-none" w:eastAsia="x-none"/>
        </w:rPr>
      </w:pPr>
    </w:p>
    <w:p w14:paraId="526A91F2" w14:textId="77777777" w:rsidR="001A38D3" w:rsidRPr="001A38D3" w:rsidRDefault="001A38D3" w:rsidP="001A38D3">
      <w:pPr>
        <w:jc w:val="center"/>
        <w:outlineLvl w:val="0"/>
        <w:rPr>
          <w:b/>
          <w:bCs/>
          <w:sz w:val="28"/>
          <w:lang w:val="x-none" w:eastAsia="x-none"/>
        </w:rPr>
      </w:pPr>
      <w:r w:rsidRPr="001A38D3">
        <w:rPr>
          <w:b/>
          <w:bCs/>
          <w:sz w:val="28"/>
          <w:lang w:val="x-none" w:eastAsia="x-none"/>
        </w:rPr>
        <w:t>FINANŠU PIEDĀVĀJUMS</w:t>
      </w:r>
      <w:bookmarkEnd w:id="0"/>
    </w:p>
    <w:p w14:paraId="5D6DCF2C" w14:textId="77777777" w:rsidR="001A38D3" w:rsidRPr="001A38D3" w:rsidRDefault="001A38D3" w:rsidP="001A38D3">
      <w:pPr>
        <w:tabs>
          <w:tab w:val="center" w:pos="567"/>
        </w:tabs>
        <w:spacing w:after="120"/>
        <w:rPr>
          <w:bCs/>
          <w:color w:val="000000"/>
          <w:sz w:val="22"/>
          <w:szCs w:val="22"/>
          <w:lang w:eastAsia="en-US"/>
        </w:rPr>
      </w:pPr>
    </w:p>
    <w:p w14:paraId="58B1B827" w14:textId="77777777" w:rsidR="001A38D3" w:rsidRPr="001A38D3" w:rsidRDefault="001A38D3" w:rsidP="001A38D3">
      <w:pPr>
        <w:jc w:val="center"/>
        <w:rPr>
          <w:lang w:eastAsia="en-US"/>
        </w:rPr>
      </w:pPr>
      <w:r w:rsidRPr="001A38D3">
        <w:rPr>
          <w:b/>
          <w:bCs/>
          <w:iCs/>
          <w:sz w:val="32"/>
          <w:szCs w:val="32"/>
        </w:rPr>
        <w:t>KOKSNES ŠĶELDAS PIEGĀDE SILTUMENERĢIJAS RAŽOŠANAI KATLUMĀJĀ DĀRZA IELĀ 11, BAUSKĀ</w:t>
      </w:r>
      <w:r w:rsidRPr="001A38D3">
        <w:rPr>
          <w:lang w:eastAsia="en-US"/>
        </w:rPr>
        <w:t xml:space="preserve"> </w:t>
      </w:r>
    </w:p>
    <w:p w14:paraId="34F2A2F6" w14:textId="77777777" w:rsidR="001A38D3" w:rsidRPr="001A38D3" w:rsidRDefault="001A38D3" w:rsidP="001A38D3">
      <w:pPr>
        <w:jc w:val="both"/>
        <w:rPr>
          <w:color w:val="000000"/>
          <w:lang w:eastAsia="en-US"/>
        </w:rPr>
      </w:pPr>
    </w:p>
    <w:p w14:paraId="5B627555" w14:textId="77777777" w:rsidR="001A38D3" w:rsidRPr="001A38D3" w:rsidRDefault="001A38D3" w:rsidP="001A38D3">
      <w:pPr>
        <w:ind w:left="720" w:firstLine="720"/>
        <w:rPr>
          <w:b/>
          <w:sz w:val="22"/>
          <w:szCs w:val="22"/>
          <w:lang w:eastAsia="en-US"/>
        </w:rPr>
      </w:pPr>
      <w:r w:rsidRPr="001A38D3">
        <w:rPr>
          <w:b/>
          <w:sz w:val="22"/>
          <w:szCs w:val="22"/>
          <w:lang w:eastAsia="en-US"/>
        </w:rPr>
        <w:t>IESNIEDZ:</w:t>
      </w:r>
    </w:p>
    <w:p w14:paraId="6B3C2008" w14:textId="77777777" w:rsidR="001A38D3" w:rsidRPr="001A38D3" w:rsidRDefault="001A38D3" w:rsidP="001A38D3">
      <w:pPr>
        <w:ind w:left="720" w:firstLine="720"/>
        <w:rPr>
          <w:b/>
          <w:color w:val="000000"/>
          <w:sz w:val="22"/>
          <w:szCs w:val="22"/>
          <w:lang w:eastAsia="en-US"/>
        </w:rPr>
      </w:pPr>
    </w:p>
    <w:tbl>
      <w:tblPr>
        <w:tblW w:w="83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3427"/>
      </w:tblGrid>
      <w:tr w:rsidR="001A38D3" w:rsidRPr="001A38D3" w14:paraId="7BA318A5" w14:textId="77777777" w:rsidTr="00B95BD3">
        <w:trPr>
          <w:cantSplit/>
          <w:jc w:val="center"/>
        </w:trPr>
        <w:tc>
          <w:tcPr>
            <w:tcW w:w="4944" w:type="dxa"/>
            <w:shd w:val="pct5" w:color="auto" w:fill="FFFFFF"/>
          </w:tcPr>
          <w:p w14:paraId="7CA5D128" w14:textId="77777777" w:rsidR="001A38D3" w:rsidRPr="001A38D3" w:rsidRDefault="001A38D3" w:rsidP="001A38D3">
            <w:pPr>
              <w:spacing w:before="12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A38D3">
              <w:rPr>
                <w:b/>
                <w:color w:val="000000"/>
                <w:sz w:val="22"/>
                <w:szCs w:val="22"/>
                <w:lang w:eastAsia="en-US"/>
              </w:rPr>
              <w:t>Pretendenta nosaukums</w:t>
            </w:r>
          </w:p>
        </w:tc>
        <w:tc>
          <w:tcPr>
            <w:tcW w:w="3427" w:type="dxa"/>
            <w:shd w:val="pct5" w:color="auto" w:fill="FFFFFF"/>
          </w:tcPr>
          <w:p w14:paraId="0055EE49" w14:textId="77777777" w:rsidR="001A38D3" w:rsidRPr="001A38D3" w:rsidRDefault="001A38D3" w:rsidP="001A38D3">
            <w:pPr>
              <w:spacing w:before="12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A38D3">
              <w:rPr>
                <w:b/>
                <w:color w:val="000000"/>
                <w:sz w:val="22"/>
                <w:szCs w:val="22"/>
                <w:lang w:eastAsia="en-US"/>
              </w:rPr>
              <w:t>Rekvizīti</w:t>
            </w:r>
          </w:p>
        </w:tc>
      </w:tr>
      <w:tr w:rsidR="001A38D3" w:rsidRPr="001A38D3" w14:paraId="54A33919" w14:textId="77777777" w:rsidTr="00B95BD3">
        <w:trPr>
          <w:cantSplit/>
          <w:trHeight w:val="320"/>
          <w:jc w:val="center"/>
        </w:trPr>
        <w:tc>
          <w:tcPr>
            <w:tcW w:w="4944" w:type="dxa"/>
            <w:shd w:val="pct5" w:color="auto" w:fill="FFFFFF"/>
          </w:tcPr>
          <w:p w14:paraId="3AF55FA3" w14:textId="77777777" w:rsidR="001A38D3" w:rsidRPr="001A38D3" w:rsidRDefault="001A38D3" w:rsidP="001A38D3">
            <w:pPr>
              <w:rPr>
                <w:b/>
                <w:sz w:val="20"/>
                <w:szCs w:val="20"/>
              </w:rPr>
            </w:pPr>
            <w:r w:rsidRPr="001A38D3">
              <w:rPr>
                <w:b/>
                <w:sz w:val="20"/>
                <w:szCs w:val="20"/>
              </w:rPr>
              <w:t>Uzņēmuma nosaukums</w:t>
            </w:r>
          </w:p>
        </w:tc>
        <w:tc>
          <w:tcPr>
            <w:tcW w:w="3427" w:type="dxa"/>
            <w:shd w:val="pct5" w:color="auto" w:fill="FFFFFF"/>
          </w:tcPr>
          <w:p w14:paraId="7262D571" w14:textId="77777777" w:rsidR="001A38D3" w:rsidRPr="001A38D3" w:rsidRDefault="001A38D3" w:rsidP="001A38D3">
            <w:pPr>
              <w:spacing w:before="12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271399FF" w14:textId="77777777" w:rsidTr="00B95BD3">
        <w:trPr>
          <w:cantSplit/>
          <w:trHeight w:val="354"/>
          <w:jc w:val="center"/>
        </w:trPr>
        <w:tc>
          <w:tcPr>
            <w:tcW w:w="4944" w:type="dxa"/>
            <w:shd w:val="pct5" w:color="auto" w:fill="FFFFFF"/>
          </w:tcPr>
          <w:p w14:paraId="14D26766" w14:textId="77777777" w:rsidR="001A38D3" w:rsidRPr="001A38D3" w:rsidRDefault="001A38D3" w:rsidP="001A38D3">
            <w:pPr>
              <w:rPr>
                <w:b/>
                <w:sz w:val="20"/>
                <w:szCs w:val="20"/>
              </w:rPr>
            </w:pPr>
            <w:r w:rsidRPr="001A38D3">
              <w:rPr>
                <w:b/>
                <w:sz w:val="20"/>
                <w:szCs w:val="20"/>
              </w:rPr>
              <w:t>Reģistrācijas Nr.</w:t>
            </w:r>
          </w:p>
        </w:tc>
        <w:tc>
          <w:tcPr>
            <w:tcW w:w="3427" w:type="dxa"/>
            <w:shd w:val="pct5" w:color="auto" w:fill="FFFFFF"/>
          </w:tcPr>
          <w:p w14:paraId="66D57C6F" w14:textId="77777777" w:rsidR="001A38D3" w:rsidRPr="001A38D3" w:rsidRDefault="001A38D3" w:rsidP="001A38D3">
            <w:pPr>
              <w:spacing w:before="12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1F8044AE" w14:textId="77777777" w:rsidTr="00B95BD3">
        <w:trPr>
          <w:cantSplit/>
          <w:trHeight w:val="388"/>
          <w:jc w:val="center"/>
        </w:trPr>
        <w:tc>
          <w:tcPr>
            <w:tcW w:w="4944" w:type="dxa"/>
            <w:shd w:val="pct5" w:color="auto" w:fill="FFFFFF"/>
          </w:tcPr>
          <w:p w14:paraId="3607A627" w14:textId="77777777" w:rsidR="001A38D3" w:rsidRPr="001A38D3" w:rsidRDefault="001A38D3" w:rsidP="001A38D3">
            <w:pPr>
              <w:rPr>
                <w:b/>
                <w:sz w:val="20"/>
                <w:szCs w:val="20"/>
              </w:rPr>
            </w:pPr>
            <w:r w:rsidRPr="001A38D3">
              <w:rPr>
                <w:b/>
                <w:sz w:val="20"/>
                <w:szCs w:val="20"/>
              </w:rPr>
              <w:t>PVN maksātāja Nr.</w:t>
            </w:r>
          </w:p>
        </w:tc>
        <w:tc>
          <w:tcPr>
            <w:tcW w:w="3427" w:type="dxa"/>
            <w:shd w:val="pct5" w:color="auto" w:fill="FFFFFF"/>
          </w:tcPr>
          <w:p w14:paraId="5E7DE9D4" w14:textId="77777777" w:rsidR="001A38D3" w:rsidRPr="001A38D3" w:rsidRDefault="001A38D3" w:rsidP="001A38D3">
            <w:pPr>
              <w:spacing w:before="12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7E7A191B" w14:textId="77777777" w:rsidTr="00B95BD3">
        <w:trPr>
          <w:cantSplit/>
          <w:trHeight w:val="266"/>
          <w:jc w:val="center"/>
        </w:trPr>
        <w:tc>
          <w:tcPr>
            <w:tcW w:w="4944" w:type="dxa"/>
            <w:shd w:val="pct5" w:color="auto" w:fill="FFFFFF"/>
          </w:tcPr>
          <w:p w14:paraId="16D798D0" w14:textId="77777777" w:rsidR="001A38D3" w:rsidRPr="001A38D3" w:rsidRDefault="001A38D3" w:rsidP="001A38D3">
            <w:pPr>
              <w:rPr>
                <w:b/>
                <w:sz w:val="20"/>
                <w:szCs w:val="20"/>
              </w:rPr>
            </w:pPr>
            <w:r w:rsidRPr="001A38D3">
              <w:rPr>
                <w:b/>
                <w:sz w:val="20"/>
                <w:szCs w:val="20"/>
              </w:rPr>
              <w:t>Juridiskā adrese</w:t>
            </w:r>
          </w:p>
        </w:tc>
        <w:tc>
          <w:tcPr>
            <w:tcW w:w="3427" w:type="dxa"/>
            <w:shd w:val="pct5" w:color="auto" w:fill="FFFFFF"/>
          </w:tcPr>
          <w:p w14:paraId="680E0F9E" w14:textId="77777777" w:rsidR="001A38D3" w:rsidRPr="001A38D3" w:rsidRDefault="001A38D3" w:rsidP="001A38D3">
            <w:pPr>
              <w:spacing w:before="12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052C9A14" w14:textId="77777777" w:rsidTr="00B95BD3">
        <w:trPr>
          <w:cantSplit/>
          <w:trHeight w:val="314"/>
          <w:jc w:val="center"/>
        </w:trPr>
        <w:tc>
          <w:tcPr>
            <w:tcW w:w="4944" w:type="dxa"/>
            <w:shd w:val="pct5" w:color="auto" w:fill="FFFFFF"/>
          </w:tcPr>
          <w:p w14:paraId="2D22128D" w14:textId="77777777" w:rsidR="001A38D3" w:rsidRPr="001A38D3" w:rsidRDefault="001A38D3" w:rsidP="001A38D3">
            <w:pPr>
              <w:rPr>
                <w:b/>
                <w:sz w:val="20"/>
                <w:szCs w:val="20"/>
              </w:rPr>
            </w:pPr>
            <w:r w:rsidRPr="001A38D3">
              <w:rPr>
                <w:b/>
                <w:sz w:val="20"/>
                <w:szCs w:val="20"/>
              </w:rPr>
              <w:t>Uzņēmuma pārstāvis vai pilnvarotā persona</w:t>
            </w:r>
          </w:p>
        </w:tc>
        <w:tc>
          <w:tcPr>
            <w:tcW w:w="3427" w:type="dxa"/>
            <w:shd w:val="pct5" w:color="auto" w:fill="FFFFFF"/>
          </w:tcPr>
          <w:p w14:paraId="0F2E7AE0" w14:textId="77777777" w:rsidR="001A38D3" w:rsidRPr="001A38D3" w:rsidRDefault="001A38D3" w:rsidP="001A38D3">
            <w:pPr>
              <w:spacing w:before="12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6165F693" w14:textId="77777777" w:rsidTr="00B95BD3">
        <w:trPr>
          <w:cantSplit/>
          <w:trHeight w:val="348"/>
          <w:jc w:val="center"/>
        </w:trPr>
        <w:tc>
          <w:tcPr>
            <w:tcW w:w="4944" w:type="dxa"/>
            <w:shd w:val="pct5" w:color="auto" w:fill="FFFFFF"/>
          </w:tcPr>
          <w:p w14:paraId="1B1F954F" w14:textId="77777777" w:rsidR="001A38D3" w:rsidRPr="001A38D3" w:rsidRDefault="001A38D3" w:rsidP="001A38D3">
            <w:pPr>
              <w:rPr>
                <w:b/>
                <w:sz w:val="20"/>
                <w:szCs w:val="20"/>
              </w:rPr>
            </w:pPr>
            <w:r w:rsidRPr="001A38D3">
              <w:rPr>
                <w:b/>
                <w:sz w:val="20"/>
                <w:szCs w:val="20"/>
              </w:rPr>
              <w:t>Ieņemamais amats</w:t>
            </w:r>
          </w:p>
        </w:tc>
        <w:tc>
          <w:tcPr>
            <w:tcW w:w="3427" w:type="dxa"/>
            <w:shd w:val="pct5" w:color="auto" w:fill="FFFFFF"/>
          </w:tcPr>
          <w:p w14:paraId="25AFB957" w14:textId="77777777" w:rsidR="001A38D3" w:rsidRPr="001A38D3" w:rsidRDefault="001A38D3" w:rsidP="001A38D3">
            <w:pPr>
              <w:spacing w:before="12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2B7D2A2E" w14:textId="77777777" w:rsidTr="00B95BD3">
        <w:trPr>
          <w:cantSplit/>
          <w:trHeight w:val="240"/>
          <w:jc w:val="center"/>
        </w:trPr>
        <w:tc>
          <w:tcPr>
            <w:tcW w:w="4944" w:type="dxa"/>
            <w:shd w:val="pct5" w:color="auto" w:fill="FFFFFF"/>
          </w:tcPr>
          <w:p w14:paraId="1FB1598B" w14:textId="77777777" w:rsidR="001A38D3" w:rsidRPr="001A38D3" w:rsidRDefault="001A38D3" w:rsidP="001A38D3">
            <w:pPr>
              <w:rPr>
                <w:b/>
                <w:sz w:val="20"/>
                <w:szCs w:val="20"/>
              </w:rPr>
            </w:pPr>
            <w:r w:rsidRPr="001A38D3">
              <w:rPr>
                <w:b/>
                <w:sz w:val="20"/>
                <w:szCs w:val="20"/>
              </w:rPr>
              <w:t>Tālruņa Nr.</w:t>
            </w:r>
          </w:p>
        </w:tc>
        <w:tc>
          <w:tcPr>
            <w:tcW w:w="3427" w:type="dxa"/>
            <w:shd w:val="pct5" w:color="auto" w:fill="FFFFFF"/>
          </w:tcPr>
          <w:p w14:paraId="71C4F1CD" w14:textId="77777777" w:rsidR="001A38D3" w:rsidRPr="001A38D3" w:rsidRDefault="001A38D3" w:rsidP="001A38D3">
            <w:pPr>
              <w:spacing w:before="12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5D3EC5B6" w14:textId="77777777" w:rsidTr="00B95BD3">
        <w:trPr>
          <w:cantSplit/>
          <w:trHeight w:val="274"/>
          <w:jc w:val="center"/>
        </w:trPr>
        <w:tc>
          <w:tcPr>
            <w:tcW w:w="4944" w:type="dxa"/>
            <w:shd w:val="pct5" w:color="auto" w:fill="FFFFFF"/>
          </w:tcPr>
          <w:p w14:paraId="7BC7DEFB" w14:textId="77777777" w:rsidR="001A38D3" w:rsidRPr="001A38D3" w:rsidRDefault="001A38D3" w:rsidP="001A38D3">
            <w:pPr>
              <w:rPr>
                <w:b/>
                <w:sz w:val="20"/>
                <w:szCs w:val="20"/>
              </w:rPr>
            </w:pPr>
            <w:r w:rsidRPr="001A38D3">
              <w:rPr>
                <w:b/>
                <w:sz w:val="20"/>
                <w:szCs w:val="20"/>
              </w:rPr>
              <w:t>E-pasts:</w:t>
            </w:r>
          </w:p>
        </w:tc>
        <w:tc>
          <w:tcPr>
            <w:tcW w:w="3427" w:type="dxa"/>
            <w:shd w:val="pct5" w:color="auto" w:fill="FFFFFF"/>
          </w:tcPr>
          <w:p w14:paraId="3DC22CD5" w14:textId="77777777" w:rsidR="001A38D3" w:rsidRPr="001A38D3" w:rsidRDefault="001A38D3" w:rsidP="001A38D3">
            <w:pPr>
              <w:spacing w:before="12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C33CB41" w14:textId="77777777" w:rsidR="001A38D3" w:rsidRPr="001A38D3" w:rsidRDefault="001A38D3" w:rsidP="001A38D3">
      <w:pPr>
        <w:rPr>
          <w:lang w:eastAsia="en-US"/>
        </w:rPr>
      </w:pPr>
    </w:p>
    <w:p w14:paraId="7A096B47" w14:textId="77777777" w:rsidR="001A38D3" w:rsidRPr="001A38D3" w:rsidRDefault="001A38D3" w:rsidP="001A38D3">
      <w:pPr>
        <w:numPr>
          <w:ilvl w:val="0"/>
          <w:numId w:val="1"/>
        </w:numPr>
        <w:tabs>
          <w:tab w:val="center" w:pos="567"/>
        </w:tabs>
        <w:ind w:left="924" w:hanging="924"/>
        <w:rPr>
          <w:b/>
          <w:sz w:val="22"/>
          <w:szCs w:val="22"/>
          <w:lang w:eastAsia="en-US"/>
        </w:rPr>
      </w:pPr>
      <w:bookmarkStart w:id="1" w:name="_Toc402187974"/>
      <w:r w:rsidRPr="001A38D3">
        <w:rPr>
          <w:b/>
          <w:sz w:val="22"/>
          <w:szCs w:val="22"/>
          <w:lang w:eastAsia="en-US"/>
        </w:rPr>
        <w:t>KONTAKTPERSONA</w:t>
      </w:r>
      <w:bookmarkEnd w:id="1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1A38D3" w:rsidRPr="001A38D3" w14:paraId="4A61A43C" w14:textId="77777777" w:rsidTr="00B95BD3">
        <w:trPr>
          <w:trHeight w:val="816"/>
          <w:jc w:val="center"/>
        </w:trPr>
        <w:tc>
          <w:tcPr>
            <w:tcW w:w="2258" w:type="dxa"/>
            <w:shd w:val="pct5" w:color="auto" w:fill="FFFFFF"/>
          </w:tcPr>
          <w:p w14:paraId="56658DDC" w14:textId="77777777" w:rsidR="001A38D3" w:rsidRPr="001A38D3" w:rsidRDefault="001A38D3" w:rsidP="001A38D3">
            <w:pPr>
              <w:spacing w:before="12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A38D3">
              <w:rPr>
                <w:b/>
                <w:color w:val="000000"/>
                <w:sz w:val="22"/>
                <w:szCs w:val="22"/>
                <w:lang w:eastAsia="en-US"/>
              </w:rPr>
              <w:t>Vārds, uzvārds</w:t>
            </w:r>
          </w:p>
        </w:tc>
        <w:tc>
          <w:tcPr>
            <w:tcW w:w="6120" w:type="dxa"/>
          </w:tcPr>
          <w:p w14:paraId="11000F8F" w14:textId="77777777" w:rsidR="001A38D3" w:rsidRPr="001A38D3" w:rsidRDefault="001A38D3" w:rsidP="001A38D3">
            <w:pPr>
              <w:spacing w:before="120" w:after="12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2FC76484" w14:textId="77777777" w:rsidTr="00B95BD3">
        <w:trPr>
          <w:trHeight w:val="585"/>
          <w:jc w:val="center"/>
        </w:trPr>
        <w:tc>
          <w:tcPr>
            <w:tcW w:w="2258" w:type="dxa"/>
            <w:shd w:val="pct5" w:color="auto" w:fill="FFFFFF"/>
          </w:tcPr>
          <w:p w14:paraId="1EE66FFC" w14:textId="77777777" w:rsidR="001A38D3" w:rsidRPr="001A38D3" w:rsidRDefault="001A38D3" w:rsidP="001A38D3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A38D3">
              <w:rPr>
                <w:b/>
                <w:color w:val="000000"/>
                <w:sz w:val="22"/>
                <w:szCs w:val="22"/>
                <w:lang w:eastAsia="en-US"/>
              </w:rPr>
              <w:t>Adrese:</w:t>
            </w:r>
          </w:p>
        </w:tc>
        <w:tc>
          <w:tcPr>
            <w:tcW w:w="6120" w:type="dxa"/>
          </w:tcPr>
          <w:p w14:paraId="0962D664" w14:textId="77777777" w:rsidR="001A38D3" w:rsidRPr="001A38D3" w:rsidRDefault="001A38D3" w:rsidP="001A38D3">
            <w:pPr>
              <w:spacing w:before="120" w:after="12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22AE777C" w14:textId="77777777" w:rsidTr="00B95BD3">
        <w:trPr>
          <w:trHeight w:val="616"/>
          <w:jc w:val="center"/>
        </w:trPr>
        <w:tc>
          <w:tcPr>
            <w:tcW w:w="2258" w:type="dxa"/>
            <w:shd w:val="pct5" w:color="auto" w:fill="FFFFFF"/>
          </w:tcPr>
          <w:p w14:paraId="0F67D98C" w14:textId="77777777" w:rsidR="001A38D3" w:rsidRPr="001A38D3" w:rsidRDefault="001A38D3" w:rsidP="001A38D3">
            <w:pPr>
              <w:spacing w:before="120" w:after="12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A38D3">
              <w:rPr>
                <w:b/>
                <w:color w:val="000000"/>
                <w:sz w:val="22"/>
                <w:szCs w:val="22"/>
                <w:lang w:eastAsia="en-US"/>
              </w:rPr>
              <w:t>Tālr. / Fax:</w:t>
            </w:r>
          </w:p>
        </w:tc>
        <w:tc>
          <w:tcPr>
            <w:tcW w:w="6120" w:type="dxa"/>
          </w:tcPr>
          <w:p w14:paraId="1E118F2D" w14:textId="77777777" w:rsidR="001A38D3" w:rsidRPr="001A38D3" w:rsidRDefault="001A38D3" w:rsidP="001A38D3">
            <w:pPr>
              <w:spacing w:before="120" w:after="12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757D0E35" w14:textId="77777777" w:rsidTr="00B95BD3">
        <w:trPr>
          <w:trHeight w:val="692"/>
          <w:jc w:val="center"/>
        </w:trPr>
        <w:tc>
          <w:tcPr>
            <w:tcW w:w="2258" w:type="dxa"/>
            <w:shd w:val="pct5" w:color="auto" w:fill="FFFFFF"/>
          </w:tcPr>
          <w:p w14:paraId="1A2A8420" w14:textId="77777777" w:rsidR="001A38D3" w:rsidRPr="001A38D3" w:rsidRDefault="001A38D3" w:rsidP="001A38D3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A38D3">
              <w:rPr>
                <w:b/>
                <w:bCs/>
                <w:color w:val="000000"/>
                <w:sz w:val="22"/>
                <w:szCs w:val="22"/>
                <w:lang w:eastAsia="en-US"/>
              </w:rPr>
              <w:t>e-pasta adrese:</w:t>
            </w:r>
          </w:p>
        </w:tc>
        <w:tc>
          <w:tcPr>
            <w:tcW w:w="6120" w:type="dxa"/>
          </w:tcPr>
          <w:p w14:paraId="6C1B7C51" w14:textId="77777777" w:rsidR="001A38D3" w:rsidRPr="001A38D3" w:rsidRDefault="001A38D3" w:rsidP="001A38D3">
            <w:pPr>
              <w:spacing w:before="120" w:after="12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996FEEA" w14:textId="77777777" w:rsidR="001A38D3" w:rsidRPr="001A38D3" w:rsidRDefault="001A38D3" w:rsidP="001A38D3">
      <w:pPr>
        <w:rPr>
          <w:color w:val="000000"/>
          <w:sz w:val="22"/>
          <w:szCs w:val="22"/>
          <w:lang w:eastAsia="en-US"/>
        </w:rPr>
      </w:pPr>
    </w:p>
    <w:p w14:paraId="10BE33FF" w14:textId="77777777" w:rsidR="001A38D3" w:rsidRPr="001A38D3" w:rsidRDefault="001A38D3" w:rsidP="001A38D3">
      <w:pPr>
        <w:numPr>
          <w:ilvl w:val="0"/>
          <w:numId w:val="1"/>
        </w:numPr>
        <w:tabs>
          <w:tab w:val="center" w:pos="567"/>
        </w:tabs>
        <w:ind w:left="924" w:hanging="924"/>
        <w:rPr>
          <w:b/>
          <w:sz w:val="22"/>
          <w:szCs w:val="22"/>
          <w:lang w:eastAsia="en-US"/>
        </w:rPr>
      </w:pPr>
      <w:bookmarkStart w:id="2" w:name="_Toc402187975"/>
      <w:r w:rsidRPr="001A38D3">
        <w:rPr>
          <w:b/>
          <w:sz w:val="22"/>
          <w:szCs w:val="22"/>
          <w:lang w:eastAsia="en-US"/>
        </w:rPr>
        <w:t>FINANŠU PIEDĀVĀJUMS</w:t>
      </w:r>
      <w:bookmarkEnd w:id="2"/>
    </w:p>
    <w:p w14:paraId="461E5273" w14:textId="18CE50F9" w:rsidR="00546622" w:rsidRDefault="001A38D3" w:rsidP="00EE3A84">
      <w:pPr>
        <w:numPr>
          <w:ilvl w:val="1"/>
          <w:numId w:val="1"/>
        </w:numPr>
        <w:spacing w:after="120"/>
        <w:ind w:left="896" w:hanging="539"/>
        <w:jc w:val="both"/>
        <w:rPr>
          <w:color w:val="000000"/>
          <w:lang w:eastAsia="x-none"/>
        </w:rPr>
      </w:pPr>
      <w:bookmarkStart w:id="3" w:name="_Toc402187976"/>
      <w:r w:rsidRPr="001A38D3">
        <w:rPr>
          <w:color w:val="000000"/>
          <w:lang w:val="x-none" w:eastAsia="x-none"/>
        </w:rPr>
        <w:t>Pretendent</w:t>
      </w:r>
      <w:r w:rsidR="00546622">
        <w:rPr>
          <w:color w:val="000000"/>
          <w:lang w:eastAsia="x-none"/>
        </w:rPr>
        <w:t xml:space="preserve">s var </w:t>
      </w:r>
      <w:r w:rsidRPr="00E437AD">
        <w:rPr>
          <w:color w:val="000000"/>
          <w:lang w:val="x-none" w:eastAsia="x-none"/>
        </w:rPr>
        <w:t>iesnie</w:t>
      </w:r>
      <w:r w:rsidR="00546622" w:rsidRPr="00E437AD">
        <w:rPr>
          <w:color w:val="000000"/>
          <w:lang w:eastAsia="x-none"/>
        </w:rPr>
        <w:t>gt cenu piedāvājuma variantus šādam</w:t>
      </w:r>
      <w:r w:rsidR="00546622">
        <w:rPr>
          <w:color w:val="000000"/>
          <w:lang w:eastAsia="x-none"/>
        </w:rPr>
        <w:t xml:space="preserve"> periodam - 01.09.2022-31.08.2023)</w:t>
      </w:r>
    </w:p>
    <w:p w14:paraId="740E3144" w14:textId="69C0D130" w:rsidR="00546622" w:rsidRPr="00E437AD" w:rsidRDefault="00546622" w:rsidP="005042B1">
      <w:pPr>
        <w:pStyle w:val="Sarakstarindkopa"/>
        <w:numPr>
          <w:ilvl w:val="0"/>
          <w:numId w:val="6"/>
        </w:numPr>
        <w:spacing w:after="120"/>
        <w:ind w:left="709" w:hanging="284"/>
        <w:contextualSpacing w:val="0"/>
        <w:jc w:val="both"/>
        <w:rPr>
          <w:color w:val="000000"/>
          <w:lang w:eastAsia="x-none"/>
        </w:rPr>
      </w:pPr>
      <w:r w:rsidRPr="00E437AD">
        <w:rPr>
          <w:color w:val="000000"/>
          <w:lang w:eastAsia="x-none"/>
        </w:rPr>
        <w:t>Fiksēta cena visam periodam</w:t>
      </w:r>
      <w:r w:rsidR="004D1FE2" w:rsidRPr="00E437AD">
        <w:rPr>
          <w:color w:val="000000"/>
          <w:lang w:eastAsia="x-none"/>
        </w:rPr>
        <w:t>;</w:t>
      </w:r>
    </w:p>
    <w:p w14:paraId="606DF330" w14:textId="77777777" w:rsidR="005042B1" w:rsidRDefault="00546622" w:rsidP="005042B1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100" w:afterAutospacing="1"/>
        <w:ind w:hanging="294"/>
        <w:jc w:val="both"/>
        <w:rPr>
          <w:rFonts w:cstheme="minorHAnsi"/>
          <w:sz w:val="22"/>
          <w:szCs w:val="22"/>
        </w:rPr>
      </w:pPr>
      <w:r>
        <w:rPr>
          <w:color w:val="000000"/>
          <w:lang w:eastAsia="x-none"/>
        </w:rPr>
        <w:t>M</w:t>
      </w:r>
      <w:r w:rsidR="00E64D7A" w:rsidRPr="00546622">
        <w:rPr>
          <w:color w:val="000000"/>
          <w:lang w:eastAsia="x-none"/>
        </w:rPr>
        <w:t>ainīg</w:t>
      </w:r>
      <w:r w:rsidR="004D1FE2">
        <w:rPr>
          <w:color w:val="000000"/>
          <w:lang w:eastAsia="x-none"/>
        </w:rPr>
        <w:t xml:space="preserve">ā </w:t>
      </w:r>
      <w:r w:rsidR="00E64D7A" w:rsidRPr="00546622">
        <w:rPr>
          <w:color w:val="000000"/>
          <w:lang w:eastAsia="x-none"/>
        </w:rPr>
        <w:t>cena</w:t>
      </w:r>
      <w:r>
        <w:rPr>
          <w:color w:val="000000"/>
          <w:lang w:eastAsia="x-none"/>
        </w:rPr>
        <w:t xml:space="preserve">, kas tiks indeksēta. </w:t>
      </w:r>
      <w:r w:rsidR="005042B1">
        <w:rPr>
          <w:rFonts w:cstheme="minorHAnsi"/>
          <w:bdr w:val="none" w:sz="0" w:space="0" w:color="auto" w:frame="1"/>
          <w:shd w:val="clear" w:color="auto" w:fill="FFFFFF"/>
        </w:rPr>
        <w:t>Jāpiedāvā sākotnējā nemainīga cena augustā un septembrī, kura tiks uzskatīta par bāzes cenu, kura no oktobra tiks indeksēta atbilstoši  šķeldas cenas izmaiņām tirgū.</w:t>
      </w:r>
      <w:r w:rsidR="005042B1">
        <w:rPr>
          <w:rFonts w:cstheme="minorHAnsi"/>
        </w:rPr>
        <w:t xml:space="preserve"> </w:t>
      </w:r>
      <w:r w:rsidR="005042B1">
        <w:t xml:space="preserve">Cenu indeksa aprēķināšanai tiek izmantoti dati par šķeldas vidējām pārdošanas cenām mēnesī (EUR/MWh). </w:t>
      </w:r>
      <w:r w:rsidR="005042B1">
        <w:rPr>
          <w:rFonts w:cstheme="minorHAnsi"/>
        </w:rPr>
        <w:t>Cena nākamajam mēnesim tiek indeksēta, reizinot kārtējam cenu periodam noteikto Līguma cenu ar koeficientu, kas aprēķināts atbilstoši pēc sekojošām formulām: C2 = C1 × K, K = P2vid : P1vid;</w:t>
      </w:r>
    </w:p>
    <w:p w14:paraId="75175C2A" w14:textId="77777777" w:rsidR="005042B1" w:rsidRDefault="005042B1" w:rsidP="005042B1">
      <w:pPr>
        <w:autoSpaceDE w:val="0"/>
        <w:autoSpaceDN w:val="0"/>
        <w:adjustRightInd w:val="0"/>
        <w:ind w:left="1224"/>
        <w:contextualSpacing/>
        <w:rPr>
          <w:rFonts w:cstheme="minorHAnsi"/>
        </w:rPr>
      </w:pPr>
      <w:r>
        <w:rPr>
          <w:rFonts w:cstheme="minorHAnsi"/>
          <w:bCs/>
          <w:iCs/>
        </w:rPr>
        <w:t>C2 – jaunā (indeksētā) cenas vērtība nākamajam cenu periodam, EUR/MWh;</w:t>
      </w:r>
    </w:p>
    <w:p w14:paraId="1C37AE65" w14:textId="77777777" w:rsidR="005042B1" w:rsidRDefault="005042B1" w:rsidP="005042B1">
      <w:pPr>
        <w:autoSpaceDE w:val="0"/>
        <w:autoSpaceDN w:val="0"/>
        <w:adjustRightInd w:val="0"/>
        <w:ind w:left="1224"/>
        <w:contextualSpacing/>
        <w:rPr>
          <w:rFonts w:cstheme="minorHAnsi"/>
          <w:bCs/>
          <w:iCs/>
        </w:rPr>
      </w:pPr>
      <w:r>
        <w:rPr>
          <w:rFonts w:cstheme="minorHAnsi"/>
          <w:bCs/>
          <w:iCs/>
        </w:rPr>
        <w:t>C1 – pēdējā spēkā esošā cena, EUR/MWh;</w:t>
      </w:r>
    </w:p>
    <w:p w14:paraId="1F2A2B57" w14:textId="77777777" w:rsidR="005042B1" w:rsidRDefault="005042B1" w:rsidP="005042B1">
      <w:pPr>
        <w:autoSpaceDE w:val="0"/>
        <w:autoSpaceDN w:val="0"/>
        <w:adjustRightInd w:val="0"/>
        <w:ind w:left="1224"/>
        <w:contextualSpacing/>
        <w:rPr>
          <w:rFonts w:cstheme="minorHAnsi"/>
          <w:bCs/>
          <w:iCs/>
          <w:lang w:val="en-US"/>
        </w:rPr>
      </w:pPr>
      <w:r>
        <w:rPr>
          <w:rFonts w:cstheme="minorHAnsi"/>
          <w:bCs/>
          <w:iCs/>
        </w:rPr>
        <w:t>K – koeficients (cenas indekss) cenas pārrēķinam;</w:t>
      </w:r>
    </w:p>
    <w:p w14:paraId="2FCD697F" w14:textId="77777777" w:rsidR="005042B1" w:rsidRDefault="005042B1" w:rsidP="005042B1">
      <w:pPr>
        <w:autoSpaceDE w:val="0"/>
        <w:autoSpaceDN w:val="0"/>
        <w:adjustRightInd w:val="0"/>
        <w:ind w:left="1224"/>
        <w:contextualSpacing/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>P2vid –vidējā cena pēdējā kalendārajā mēnesī pirms nākamā cenu perioda sākuma, EUR/MWh;</w:t>
      </w:r>
    </w:p>
    <w:p w14:paraId="6BDD8112" w14:textId="3C8ACEEE" w:rsidR="001A38D3" w:rsidRPr="005042B1" w:rsidRDefault="005042B1" w:rsidP="005042B1">
      <w:pPr>
        <w:autoSpaceDE w:val="0"/>
        <w:autoSpaceDN w:val="0"/>
        <w:adjustRightInd w:val="0"/>
        <w:spacing w:after="120"/>
        <w:ind w:left="1225"/>
        <w:rPr>
          <w:rFonts w:cstheme="minorHAnsi"/>
          <w:bCs/>
          <w:iCs/>
        </w:rPr>
      </w:pPr>
      <w:r>
        <w:rPr>
          <w:rFonts w:cstheme="minorHAnsi"/>
          <w:bCs/>
          <w:iCs/>
        </w:rPr>
        <w:t>P1vid – vidējā cena pirmspēdējā kalendārajā mēnesī pirms nākamā cenu perioda sākuma, EUR/MWh.</w:t>
      </w:r>
    </w:p>
    <w:p w14:paraId="24D9EDDD" w14:textId="77777777" w:rsidR="001A38D3" w:rsidRPr="001A38D3" w:rsidRDefault="001A38D3" w:rsidP="001A38D3">
      <w:pPr>
        <w:numPr>
          <w:ilvl w:val="1"/>
          <w:numId w:val="1"/>
        </w:numPr>
        <w:ind w:left="900" w:hanging="540"/>
        <w:jc w:val="both"/>
        <w:rPr>
          <w:color w:val="000000"/>
          <w:lang w:val="x-none" w:eastAsia="x-none"/>
        </w:rPr>
      </w:pPr>
      <w:bookmarkStart w:id="4" w:name="_Toc402187977"/>
      <w:bookmarkEnd w:id="3"/>
      <w:r w:rsidRPr="001A38D3">
        <w:rPr>
          <w:color w:val="000000"/>
          <w:lang w:val="x-none" w:eastAsia="x-none"/>
        </w:rPr>
        <w:t xml:space="preserve">Piedāvātajā šķeldas enerģijas cenā  katla izejā ir iekļautas visas Līguma projektā paredzētās izmaksas (t.sk. pelnu utilizācijas izmaksas) un šajā Finanšu piedāvājumā cena ir jānorāda SIA </w:t>
      </w:r>
      <w:r w:rsidRPr="001A38D3">
        <w:rPr>
          <w:color w:val="000000"/>
          <w:lang w:eastAsia="x-none"/>
        </w:rPr>
        <w:t>„</w:t>
      </w:r>
      <w:r w:rsidRPr="001A38D3">
        <w:rPr>
          <w:color w:val="000000"/>
          <w:lang w:val="x-none" w:eastAsia="x-none"/>
        </w:rPr>
        <w:t>Bauskas siltums</w:t>
      </w:r>
      <w:r w:rsidRPr="001A38D3">
        <w:rPr>
          <w:color w:val="000000"/>
          <w:lang w:eastAsia="x-none"/>
        </w:rPr>
        <w:t>”</w:t>
      </w:r>
      <w:r w:rsidRPr="001A38D3">
        <w:rPr>
          <w:color w:val="000000"/>
          <w:lang w:val="x-none" w:eastAsia="x-none"/>
        </w:rPr>
        <w:t xml:space="preserve"> katlumājas šķeldas novietnē Dārza ielā 11, Bauskā.</w:t>
      </w:r>
    </w:p>
    <w:p w14:paraId="5786F420" w14:textId="5DC2A340" w:rsidR="001A38D3" w:rsidRPr="001A38D3" w:rsidRDefault="001A38D3" w:rsidP="001A38D3">
      <w:pPr>
        <w:numPr>
          <w:ilvl w:val="1"/>
          <w:numId w:val="1"/>
        </w:numPr>
        <w:ind w:left="900" w:hanging="540"/>
        <w:jc w:val="both"/>
        <w:rPr>
          <w:color w:val="000000"/>
          <w:lang w:val="x-none" w:eastAsia="x-none"/>
        </w:rPr>
      </w:pPr>
      <w:r w:rsidRPr="001A38D3">
        <w:rPr>
          <w:color w:val="000000"/>
          <w:lang w:val="x-none" w:eastAsia="x-none"/>
        </w:rPr>
        <w:t xml:space="preserve">Pretendents var iesniegt tikai vienu piedāvājumu, kurš ir spēkā </w:t>
      </w:r>
      <w:r w:rsidRPr="001A38D3">
        <w:rPr>
          <w:color w:val="000000"/>
          <w:lang w:eastAsia="x-none"/>
        </w:rPr>
        <w:t>līdz 01.11.202</w:t>
      </w:r>
      <w:r w:rsidR="00EE3A84">
        <w:rPr>
          <w:color w:val="000000"/>
          <w:lang w:eastAsia="x-none"/>
        </w:rPr>
        <w:t>2</w:t>
      </w:r>
      <w:r w:rsidRPr="001A38D3">
        <w:rPr>
          <w:color w:val="000000"/>
          <w:lang w:val="x-none" w:eastAsia="x-none"/>
        </w:rPr>
        <w:t>, bet gadījumā, ja Pretendents tiek atzīts par uzvarētāju, tad līdz attiecīgā Līguma noslēgšanai.</w:t>
      </w:r>
    </w:p>
    <w:p w14:paraId="6F505C58" w14:textId="765BF6B5" w:rsidR="001A38D3" w:rsidRPr="00DE7B7C" w:rsidRDefault="001A38D3" w:rsidP="00DE7B7C">
      <w:pPr>
        <w:numPr>
          <w:ilvl w:val="1"/>
          <w:numId w:val="1"/>
        </w:numPr>
        <w:tabs>
          <w:tab w:val="left" w:pos="900"/>
        </w:tabs>
        <w:spacing w:after="240"/>
        <w:ind w:left="900" w:hanging="540"/>
        <w:jc w:val="both"/>
        <w:rPr>
          <w:color w:val="000000"/>
          <w:lang w:val="x-none" w:eastAsia="x-none"/>
        </w:rPr>
      </w:pPr>
      <w:r w:rsidRPr="001A38D3">
        <w:rPr>
          <w:color w:val="000000"/>
          <w:lang w:val="x-none" w:eastAsia="x-none"/>
        </w:rPr>
        <w:t xml:space="preserve">Šķeldas enerģijas cena jānorāda eiro valūtā par vienu MWh siltumenerģijas  vienību EUR/MWh  bez PVN ar 2 cipariem aiz komata </w:t>
      </w:r>
      <w:r w:rsidRPr="00E437AD">
        <w:rPr>
          <w:color w:val="000000"/>
          <w:lang w:val="x-none" w:eastAsia="x-none"/>
        </w:rPr>
        <w:t xml:space="preserve">un </w:t>
      </w:r>
      <w:r w:rsidR="00053BE1" w:rsidRPr="00E437AD">
        <w:rPr>
          <w:color w:val="000000"/>
          <w:lang w:eastAsia="x-none"/>
        </w:rPr>
        <w:t xml:space="preserve">tā </w:t>
      </w:r>
      <w:r w:rsidR="005042B1" w:rsidRPr="00E437AD">
        <w:rPr>
          <w:color w:val="000000"/>
          <w:lang w:eastAsia="x-none"/>
        </w:rPr>
        <w:t>var būt</w:t>
      </w:r>
      <w:r w:rsidRPr="00E437AD">
        <w:rPr>
          <w:color w:val="000000"/>
          <w:lang w:val="x-none" w:eastAsia="x-none"/>
        </w:rPr>
        <w:t xml:space="preserve"> </w:t>
      </w:r>
      <w:r w:rsidR="00337503">
        <w:rPr>
          <w:color w:val="000000"/>
          <w:lang w:eastAsia="x-none"/>
        </w:rPr>
        <w:t xml:space="preserve">gan fiksēta, gan </w:t>
      </w:r>
      <w:r w:rsidR="00053BE1" w:rsidRPr="00E437AD">
        <w:rPr>
          <w:color w:val="000000"/>
          <w:lang w:eastAsia="x-none"/>
        </w:rPr>
        <w:t>m</w:t>
      </w:r>
      <w:r w:rsidRPr="00E437AD">
        <w:rPr>
          <w:color w:val="000000"/>
          <w:lang w:val="x-none" w:eastAsia="x-none"/>
        </w:rPr>
        <w:t>ainīga</w:t>
      </w:r>
      <w:r w:rsidRPr="001A38D3">
        <w:rPr>
          <w:color w:val="000000"/>
          <w:lang w:val="x-none" w:eastAsia="x-none"/>
        </w:rPr>
        <w:t xml:space="preserve"> līguma izpildes laikā</w:t>
      </w:r>
      <w:r w:rsidR="00DE7B7C">
        <w:rPr>
          <w:color w:val="000000"/>
          <w:lang w:eastAsia="x-none"/>
        </w:rPr>
        <w:t xml:space="preserve">. </w:t>
      </w:r>
      <w:r w:rsidR="00DE7B7C">
        <w:rPr>
          <w:color w:val="000000"/>
          <w:lang w:eastAsia="x-none"/>
        </w:rPr>
        <w:t xml:space="preserve">Fiksētas cenas gadījumā, savstarpēji vienojoties, cena </w:t>
      </w:r>
      <w:r w:rsidR="00DE7B7C">
        <w:rPr>
          <w:color w:val="000000"/>
          <w:lang w:eastAsia="x-none"/>
        </w:rPr>
        <w:t xml:space="preserve">arī </w:t>
      </w:r>
      <w:r w:rsidR="00DE7B7C">
        <w:rPr>
          <w:color w:val="000000"/>
          <w:lang w:eastAsia="x-none"/>
        </w:rPr>
        <w:t>var tikt indeksēta.</w:t>
      </w:r>
    </w:p>
    <w:bookmarkEnd w:id="4"/>
    <w:p w14:paraId="78F38B4F" w14:textId="4E93C1E1" w:rsidR="001A38D3" w:rsidRDefault="001A38D3" w:rsidP="001A38D3">
      <w:pPr>
        <w:numPr>
          <w:ilvl w:val="1"/>
          <w:numId w:val="1"/>
        </w:numPr>
        <w:spacing w:after="240"/>
        <w:ind w:left="900" w:hanging="540"/>
        <w:rPr>
          <w:bCs/>
          <w:color w:val="000000"/>
          <w:u w:val="single"/>
          <w:lang w:val="x-none" w:eastAsia="x-none"/>
        </w:rPr>
      </w:pPr>
      <w:r w:rsidRPr="001A38D3">
        <w:rPr>
          <w:color w:val="000000"/>
          <w:sz w:val="22"/>
          <w:u w:val="single"/>
          <w:lang w:val="x-none" w:eastAsia="x-none"/>
        </w:rPr>
        <w:t xml:space="preserve">Piedāvājam </w:t>
      </w:r>
      <w:r w:rsidRPr="001A38D3">
        <w:rPr>
          <w:color w:val="000000"/>
          <w:u w:val="single"/>
          <w:lang w:val="x-none" w:eastAsia="x-none"/>
        </w:rPr>
        <w:t xml:space="preserve">veikt  Līguma </w:t>
      </w:r>
      <w:r w:rsidRPr="001A38D3">
        <w:rPr>
          <w:color w:val="000000"/>
          <w:u w:val="single"/>
          <w:lang w:eastAsia="x-none"/>
        </w:rPr>
        <w:t>“</w:t>
      </w:r>
      <w:r w:rsidRPr="001A38D3">
        <w:rPr>
          <w:b/>
          <w:bCs/>
          <w:color w:val="000000"/>
          <w:u w:val="single"/>
          <w:lang w:val="x-none" w:eastAsia="x-none"/>
        </w:rPr>
        <w:t>Koksnes šķeldas piegāde siltumenerģijas  ražošanai katlumājā Dārza ielā 11, Bauskā</w:t>
      </w:r>
      <w:r w:rsidRPr="001A38D3">
        <w:rPr>
          <w:b/>
          <w:bCs/>
          <w:color w:val="000000"/>
          <w:u w:val="single"/>
          <w:lang w:eastAsia="x-none"/>
        </w:rPr>
        <w:t>”</w:t>
      </w:r>
      <w:r w:rsidRPr="001A38D3">
        <w:rPr>
          <w:b/>
          <w:bCs/>
          <w:color w:val="000000"/>
          <w:u w:val="single"/>
          <w:lang w:val="x-none" w:eastAsia="x-none"/>
        </w:rPr>
        <w:t xml:space="preserve"> </w:t>
      </w:r>
      <w:r w:rsidRPr="001A38D3">
        <w:rPr>
          <w:bCs/>
          <w:color w:val="000000"/>
          <w:u w:val="single"/>
          <w:lang w:val="x-none" w:eastAsia="x-none"/>
        </w:rPr>
        <w:t>izpildi par sekojoš</w:t>
      </w:r>
      <w:r w:rsidR="00E64D7A">
        <w:rPr>
          <w:bCs/>
          <w:color w:val="000000"/>
          <w:u w:val="single"/>
          <w:lang w:eastAsia="x-none"/>
        </w:rPr>
        <w:t>ām</w:t>
      </w:r>
      <w:r w:rsidRPr="001A38D3">
        <w:rPr>
          <w:bCs/>
          <w:color w:val="000000"/>
          <w:u w:val="single"/>
          <w:lang w:val="x-none" w:eastAsia="x-none"/>
        </w:rPr>
        <w:t xml:space="preserve"> </w:t>
      </w:r>
      <w:r w:rsidR="00E64D7A">
        <w:rPr>
          <w:bCs/>
          <w:color w:val="000000"/>
          <w:u w:val="single"/>
          <w:lang w:eastAsia="x-none"/>
        </w:rPr>
        <w:t xml:space="preserve">sākotnējām </w:t>
      </w:r>
      <w:r w:rsidRPr="001A38D3">
        <w:rPr>
          <w:bCs/>
          <w:color w:val="000000"/>
          <w:u w:val="single"/>
          <w:lang w:val="x-none" w:eastAsia="x-none"/>
        </w:rPr>
        <w:t>cen</w:t>
      </w:r>
      <w:r w:rsidR="00E64D7A">
        <w:rPr>
          <w:bCs/>
          <w:color w:val="000000"/>
          <w:u w:val="single"/>
          <w:lang w:eastAsia="x-none"/>
        </w:rPr>
        <w:t>ām</w:t>
      </w:r>
      <w:r w:rsidRPr="001A38D3">
        <w:rPr>
          <w:bCs/>
          <w:color w:val="000000"/>
          <w:u w:val="single"/>
          <w:lang w:eastAsia="x-none"/>
        </w:rPr>
        <w:t xml:space="preserve"> attiecīgā  periodā</w:t>
      </w:r>
      <w:r w:rsidRPr="001A38D3">
        <w:rPr>
          <w:bCs/>
          <w:color w:val="000000"/>
          <w:u w:val="single"/>
          <w:lang w:val="x-none" w:eastAsia="x-none"/>
        </w:rPr>
        <w:t>: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185"/>
        <w:gridCol w:w="2173"/>
        <w:gridCol w:w="2516"/>
      </w:tblGrid>
      <w:tr w:rsidR="00337503" w14:paraId="6F8F9F3D" w14:textId="77777777" w:rsidTr="00DE7B7C">
        <w:trPr>
          <w:trHeight w:val="171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1112" w14:textId="77777777" w:rsidR="00337503" w:rsidRDefault="003375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Piedāvājums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1A32" w14:textId="77777777" w:rsidR="00566DAB" w:rsidRDefault="00566DAB" w:rsidP="00566DAB">
            <w:pPr>
              <w:jc w:val="center"/>
              <w:rPr>
                <w:b/>
                <w:highlight w:val="yellow"/>
                <w:lang w:eastAsia="en-US"/>
              </w:rPr>
            </w:pPr>
          </w:p>
          <w:p w14:paraId="0A94CA75" w14:textId="1E68602E" w:rsidR="00566DAB" w:rsidRPr="00D47B4E" w:rsidRDefault="00566DAB" w:rsidP="00566D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Fiksēta cena </w:t>
            </w:r>
            <w:r w:rsidR="00DE7B7C">
              <w:rPr>
                <w:b/>
                <w:lang w:eastAsia="en-US"/>
              </w:rPr>
              <w:t xml:space="preserve">visam periodam </w:t>
            </w:r>
            <w:r w:rsidRPr="00D47B4E">
              <w:rPr>
                <w:b/>
                <w:lang w:eastAsia="en-US"/>
              </w:rPr>
              <w:t>EUR/MWh</w:t>
            </w:r>
          </w:p>
          <w:p w14:paraId="6D705D78" w14:textId="77777777" w:rsidR="00566DAB" w:rsidRDefault="00566DAB" w:rsidP="00566DAB">
            <w:pPr>
              <w:jc w:val="center"/>
              <w:rPr>
                <w:b/>
                <w:lang w:eastAsia="en-US"/>
              </w:rPr>
            </w:pPr>
            <w:r w:rsidRPr="00D47B4E">
              <w:rPr>
                <w:b/>
                <w:lang w:eastAsia="en-US"/>
              </w:rPr>
              <w:t xml:space="preserve">bez PVN </w:t>
            </w:r>
          </w:p>
          <w:p w14:paraId="09279943" w14:textId="3BB36D2E" w:rsidR="00566DAB" w:rsidRDefault="00566DAB" w:rsidP="00566DAB">
            <w:pPr>
              <w:jc w:val="center"/>
              <w:rPr>
                <w:b/>
                <w:highlight w:val="yellow"/>
                <w:lang w:eastAsia="en-US"/>
              </w:rPr>
            </w:pPr>
            <w:r w:rsidRPr="00D47B4E">
              <w:rPr>
                <w:b/>
                <w:lang w:eastAsia="en-US"/>
              </w:rPr>
              <w:t>(2022-2023)</w:t>
            </w:r>
          </w:p>
          <w:p w14:paraId="057529B2" w14:textId="77777777" w:rsidR="00337503" w:rsidRDefault="003375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D6AD" w14:textId="0A088F7B" w:rsidR="00337503" w:rsidRDefault="00337503">
            <w:pPr>
              <w:jc w:val="center"/>
              <w:rPr>
                <w:b/>
                <w:highlight w:val="yellow"/>
                <w:lang w:eastAsia="en-US"/>
              </w:rPr>
            </w:pPr>
          </w:p>
          <w:p w14:paraId="0FF97D59" w14:textId="4249DF19" w:rsidR="00337503" w:rsidRPr="00D47B4E" w:rsidRDefault="00566D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Mainīgā cena </w:t>
            </w:r>
            <w:r w:rsidR="00337503" w:rsidRPr="00D47B4E">
              <w:rPr>
                <w:b/>
                <w:lang w:eastAsia="en-US"/>
              </w:rPr>
              <w:t>EUR/MWh</w:t>
            </w:r>
          </w:p>
          <w:p w14:paraId="714A7248" w14:textId="0AE710AB" w:rsidR="00337503" w:rsidRDefault="00337503">
            <w:pPr>
              <w:jc w:val="center"/>
              <w:rPr>
                <w:b/>
                <w:highlight w:val="yellow"/>
                <w:lang w:eastAsia="en-US"/>
              </w:rPr>
            </w:pPr>
            <w:r w:rsidRPr="00D47B4E">
              <w:rPr>
                <w:b/>
                <w:lang w:eastAsia="en-US"/>
              </w:rPr>
              <w:t>bez PVN (2022-2023)</w:t>
            </w:r>
          </w:p>
          <w:p w14:paraId="500F21C7" w14:textId="77777777" w:rsidR="00337503" w:rsidRDefault="00337503">
            <w:pPr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337503" w14:paraId="3F8F0EBB" w14:textId="466B403B" w:rsidTr="00337503">
        <w:trPr>
          <w:trHeight w:val="362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CE017" w14:textId="77777777" w:rsidR="00337503" w:rsidRDefault="00337503">
            <w:pPr>
              <w:jc w:val="center"/>
              <w:rPr>
                <w:lang w:eastAsia="en-US"/>
              </w:rPr>
            </w:pPr>
            <w:r>
              <w:rPr>
                <w:bCs/>
              </w:rPr>
              <w:t>Koksnes šķeldas piegāde siltumenerģijas  ražošanai katlumājā Dārza ielā 11, Bauskā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CE2B8" w14:textId="77777777" w:rsidR="00337503" w:rsidRDefault="00337503">
            <w:pPr>
              <w:jc w:val="center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8102" w14:textId="70FA7D11" w:rsidR="00337503" w:rsidRPr="005B78DB" w:rsidRDefault="00337503" w:rsidP="003A7A21">
            <w:pPr>
              <w:keepLines/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Fiksēta cena </w:t>
            </w:r>
            <w:r w:rsidRPr="005B78DB">
              <w:rPr>
                <w:b/>
                <w:bCs/>
                <w:sz w:val="22"/>
                <w:szCs w:val="22"/>
                <w:lang w:eastAsia="en-US"/>
              </w:rPr>
              <w:t>Augusts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E56" w14:textId="77777777" w:rsidR="00337503" w:rsidRDefault="00337503" w:rsidP="003A7A21">
            <w:pPr>
              <w:keepLines/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Fiksēta cena</w:t>
            </w:r>
          </w:p>
          <w:p w14:paraId="1B8BEA28" w14:textId="779094E8" w:rsidR="00337503" w:rsidRPr="005B78DB" w:rsidRDefault="00337503" w:rsidP="003A7A21">
            <w:pPr>
              <w:keepLines/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B78DB">
              <w:rPr>
                <w:b/>
                <w:bCs/>
                <w:sz w:val="22"/>
                <w:szCs w:val="22"/>
                <w:lang w:eastAsia="en-US"/>
              </w:rPr>
              <w:t>Septembris</w:t>
            </w:r>
          </w:p>
        </w:tc>
      </w:tr>
      <w:tr w:rsidR="00337503" w14:paraId="257D4AA8" w14:textId="77777777" w:rsidTr="00337503">
        <w:trPr>
          <w:trHeight w:val="122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6B3" w14:textId="77777777" w:rsidR="00337503" w:rsidRDefault="00337503">
            <w:pPr>
              <w:jc w:val="center"/>
              <w:rPr>
                <w:bCs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63C6" w14:textId="77777777" w:rsidR="00337503" w:rsidRDefault="00337503">
            <w:pPr>
              <w:jc w:val="center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C84" w14:textId="1CE2AE38" w:rsidR="00337503" w:rsidRDefault="00337503" w:rsidP="003A7A21">
            <w:pPr>
              <w:keepLines/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  <w:p w14:paraId="651604D7" w14:textId="77777777" w:rsidR="00337503" w:rsidRDefault="00337503" w:rsidP="003A7A21">
            <w:pPr>
              <w:keepLines/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  <w:p w14:paraId="05312969" w14:textId="77777777" w:rsidR="00337503" w:rsidRDefault="00337503" w:rsidP="003A7A21">
            <w:pPr>
              <w:keepLines/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674" w14:textId="77777777" w:rsidR="00337503" w:rsidRDefault="00337503" w:rsidP="003A7A21">
            <w:pPr>
              <w:keepLines/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571E325B" w14:textId="77777777" w:rsidR="00EE3A84" w:rsidRDefault="00EE3A84" w:rsidP="00EE3A84">
      <w:pPr>
        <w:spacing w:after="120"/>
        <w:rPr>
          <w:b/>
          <w:lang w:eastAsia="en-US"/>
        </w:rPr>
      </w:pPr>
    </w:p>
    <w:p w14:paraId="60F73713" w14:textId="06B489FC" w:rsidR="001A38D3" w:rsidRPr="001A38D3" w:rsidRDefault="001A38D3" w:rsidP="00EE3A84">
      <w:pPr>
        <w:spacing w:after="120"/>
        <w:rPr>
          <w:b/>
          <w:lang w:eastAsia="en-US"/>
        </w:rPr>
      </w:pPr>
      <w:r w:rsidRPr="001A38D3">
        <w:rPr>
          <w:b/>
          <w:lang w:eastAsia="en-US"/>
        </w:rPr>
        <w:t>3. Apliecinām, ka:</w:t>
      </w:r>
    </w:p>
    <w:p w14:paraId="0708BEFB" w14:textId="77777777" w:rsidR="001A38D3" w:rsidRPr="001A38D3" w:rsidRDefault="001A38D3" w:rsidP="001A38D3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1A38D3">
        <w:rPr>
          <w:lang w:eastAsia="en-US"/>
        </w:rPr>
        <w:t>Pasūtītāja nosūtītie dokumenti piedāvājuma sagatavošanai ir saprotami un Piedāvājums ir sagatavots atbilstoši Pasūtītāja nosūtīto dokumentu prasībām;</w:t>
      </w:r>
    </w:p>
    <w:p w14:paraId="759345F3" w14:textId="77777777" w:rsidR="001A38D3" w:rsidRPr="001A38D3" w:rsidRDefault="001A38D3" w:rsidP="001A38D3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1A38D3">
        <w:rPr>
          <w:lang w:eastAsia="en-US"/>
        </w:rPr>
        <w:t>Pretendents ir reģistrēts normatīvajos aktos paredzētajā kārtībā, tas nav pasludināts par maksātnespējīgu, nav uzsākts tiesiskās aizsardzības process, neatrodas likvidācijas procesā, nav uzsākta tiesvedība, nav nodokļu parādu;</w:t>
      </w:r>
    </w:p>
    <w:p w14:paraId="2DEF5FE8" w14:textId="77777777" w:rsidR="001A38D3" w:rsidRPr="001A38D3" w:rsidRDefault="001A38D3" w:rsidP="001A38D3">
      <w:pPr>
        <w:numPr>
          <w:ilvl w:val="0"/>
          <w:numId w:val="2"/>
        </w:numPr>
        <w:jc w:val="both"/>
        <w:rPr>
          <w:lang w:eastAsia="en-US"/>
        </w:rPr>
      </w:pPr>
      <w:r w:rsidRPr="001A38D3">
        <w:rPr>
          <w:lang w:eastAsia="en-US"/>
        </w:rPr>
        <w:t>Pretendentam piedāvājuma iesniegšanas brīdī nepastāv likumā „Par interešu konflikta novēršanu valsts amatpersonu darbībā” 10.panta 4., 6. un 7.daļā minētie komercdarbības ierobežojumi;</w:t>
      </w:r>
    </w:p>
    <w:p w14:paraId="533F1F05" w14:textId="77777777" w:rsidR="001A38D3" w:rsidRPr="001A38D3" w:rsidRDefault="001A38D3" w:rsidP="001A38D3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1A38D3">
        <w:rPr>
          <w:lang w:eastAsia="en-US"/>
        </w:rPr>
        <w:t>Pretendenta rīcībā ir nepieciešamie šķeldas krājumi, nepieciešamās tehnikas vienības u.c. apstākļi Līguma saistību izpildei pilnā apmērā.</w:t>
      </w:r>
    </w:p>
    <w:p w14:paraId="3795F78E" w14:textId="77777777" w:rsidR="001A38D3" w:rsidRPr="001A38D3" w:rsidRDefault="001A38D3" w:rsidP="001A38D3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1A38D3">
        <w:t>Esam iepazinušies ar sagatavoto līgumprojektu un piekrītam tā noteikumiem.</w:t>
      </w:r>
    </w:p>
    <w:p w14:paraId="0F46DC47" w14:textId="77777777" w:rsidR="001A38D3" w:rsidRPr="001A38D3" w:rsidRDefault="001A38D3" w:rsidP="001A38D3">
      <w:pPr>
        <w:spacing w:after="200" w:line="276" w:lineRule="auto"/>
        <w:ind w:left="720"/>
        <w:jc w:val="both"/>
        <w:rPr>
          <w:lang w:eastAsia="en-US"/>
        </w:rPr>
      </w:pPr>
    </w:p>
    <w:p w14:paraId="2C7D5388" w14:textId="77777777" w:rsidR="001A38D3" w:rsidRPr="001A38D3" w:rsidRDefault="001A38D3" w:rsidP="001A38D3">
      <w:pPr>
        <w:spacing w:after="200" w:line="276" w:lineRule="auto"/>
        <w:ind w:left="720"/>
        <w:jc w:val="both"/>
        <w:rPr>
          <w:lang w:eastAsia="en-US"/>
        </w:rPr>
      </w:pPr>
    </w:p>
    <w:p w14:paraId="5EFA43AC" w14:textId="77777777" w:rsidR="001A38D3" w:rsidRPr="001A38D3" w:rsidRDefault="001A38D3" w:rsidP="001A38D3">
      <w:pPr>
        <w:spacing w:after="240"/>
        <w:ind w:hanging="142"/>
        <w:rPr>
          <w:lang w:eastAsia="en-US"/>
        </w:rPr>
      </w:pPr>
      <w:r w:rsidRPr="001A38D3">
        <w:rPr>
          <w:lang w:eastAsia="en-US"/>
        </w:rPr>
        <w:t>Paraksta Pretendenta paraksttiesīgā amatpersona vai Pretendenta atbilstoši pilnvarotā persona: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12"/>
      </w:tblGrid>
      <w:tr w:rsidR="001A38D3" w:rsidRPr="001A38D3" w14:paraId="7A1F8C19" w14:textId="77777777" w:rsidTr="00B95BD3">
        <w:trPr>
          <w:trHeight w:val="1078"/>
        </w:trPr>
        <w:tc>
          <w:tcPr>
            <w:tcW w:w="2268" w:type="dxa"/>
            <w:shd w:val="pct5" w:color="auto" w:fill="FFFFFF"/>
          </w:tcPr>
          <w:p w14:paraId="42031153" w14:textId="77777777" w:rsidR="001A38D3" w:rsidRPr="001A38D3" w:rsidRDefault="001A38D3" w:rsidP="001A38D3">
            <w:pPr>
              <w:spacing w:before="120" w:after="12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A38D3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Vārds, uzvārds, amats</w:t>
            </w:r>
          </w:p>
        </w:tc>
        <w:tc>
          <w:tcPr>
            <w:tcW w:w="6012" w:type="dxa"/>
          </w:tcPr>
          <w:p w14:paraId="0ABC6FF4" w14:textId="77777777" w:rsidR="001A38D3" w:rsidRPr="001A38D3" w:rsidRDefault="001A38D3" w:rsidP="001A38D3">
            <w:pPr>
              <w:spacing w:before="120" w:after="12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77C5713F" w14:textId="77777777" w:rsidTr="00B95BD3">
        <w:trPr>
          <w:trHeight w:val="695"/>
        </w:trPr>
        <w:tc>
          <w:tcPr>
            <w:tcW w:w="2268" w:type="dxa"/>
            <w:shd w:val="pct5" w:color="auto" w:fill="FFFFFF"/>
          </w:tcPr>
          <w:p w14:paraId="274E9E95" w14:textId="77777777" w:rsidR="001A38D3" w:rsidRPr="001A38D3" w:rsidRDefault="001A38D3" w:rsidP="001A38D3">
            <w:pPr>
              <w:spacing w:before="120" w:after="12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A38D3">
              <w:rPr>
                <w:b/>
                <w:color w:val="000000"/>
                <w:sz w:val="22"/>
                <w:szCs w:val="22"/>
                <w:lang w:eastAsia="en-US"/>
              </w:rPr>
              <w:t>Paraksts</w:t>
            </w:r>
          </w:p>
        </w:tc>
        <w:tc>
          <w:tcPr>
            <w:tcW w:w="6012" w:type="dxa"/>
          </w:tcPr>
          <w:p w14:paraId="0E268B94" w14:textId="77777777" w:rsidR="001A38D3" w:rsidRPr="001A38D3" w:rsidRDefault="001A38D3" w:rsidP="001A38D3">
            <w:pPr>
              <w:spacing w:before="120" w:after="12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A38D3" w:rsidRPr="001A38D3" w14:paraId="08008ACA" w14:textId="77777777" w:rsidTr="00B95BD3">
        <w:tc>
          <w:tcPr>
            <w:tcW w:w="2268" w:type="dxa"/>
            <w:shd w:val="pct5" w:color="auto" w:fill="FFFFFF"/>
          </w:tcPr>
          <w:p w14:paraId="6C967ED6" w14:textId="77777777" w:rsidR="001A38D3" w:rsidRPr="001A38D3" w:rsidRDefault="001A38D3" w:rsidP="001A38D3">
            <w:pPr>
              <w:spacing w:before="120" w:after="12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A38D3">
              <w:rPr>
                <w:b/>
                <w:color w:val="000000"/>
                <w:sz w:val="22"/>
                <w:szCs w:val="22"/>
                <w:lang w:eastAsia="en-US"/>
              </w:rPr>
              <w:t>Datums</w:t>
            </w:r>
          </w:p>
        </w:tc>
        <w:tc>
          <w:tcPr>
            <w:tcW w:w="6012" w:type="dxa"/>
          </w:tcPr>
          <w:p w14:paraId="648CC8CF" w14:textId="77777777" w:rsidR="001A38D3" w:rsidRPr="001A38D3" w:rsidRDefault="001A38D3" w:rsidP="001A38D3">
            <w:pPr>
              <w:spacing w:before="120" w:after="12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7D915D7" w14:textId="77777777" w:rsidR="001A38D3" w:rsidRPr="001A38D3" w:rsidRDefault="001A38D3" w:rsidP="001A38D3">
      <w:pPr>
        <w:rPr>
          <w:rFonts w:eastAsia="MS Mincho"/>
          <w:sz w:val="20"/>
          <w:szCs w:val="20"/>
          <w:lang w:eastAsia="en-US"/>
        </w:rPr>
      </w:pPr>
    </w:p>
    <w:p w14:paraId="7E27A441" w14:textId="77777777" w:rsidR="001A38D3" w:rsidRPr="001A38D3" w:rsidRDefault="001A38D3" w:rsidP="001A38D3">
      <w:pPr>
        <w:rPr>
          <w:rFonts w:eastAsia="MS Mincho"/>
        </w:rPr>
      </w:pPr>
    </w:p>
    <w:p w14:paraId="5562084B" w14:textId="77777777" w:rsidR="00486841" w:rsidRPr="001A38D3" w:rsidRDefault="00DE7B7C" w:rsidP="001A38D3"/>
    <w:sectPr w:rsidR="00486841" w:rsidRPr="001A38D3" w:rsidSect="00225E3A">
      <w:footerReference w:type="default" r:id="rId7"/>
      <w:pgSz w:w="11900" w:h="16840"/>
      <w:pgMar w:top="851" w:right="84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35CD" w14:textId="77777777" w:rsidR="00393CE7" w:rsidRDefault="00CD68A4">
      <w:r>
        <w:separator/>
      </w:r>
    </w:p>
  </w:endnote>
  <w:endnote w:type="continuationSeparator" w:id="0">
    <w:p w14:paraId="6CE5378B" w14:textId="77777777" w:rsidR="00393CE7" w:rsidRDefault="00CD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7966" w14:textId="77777777" w:rsidR="00DC730E" w:rsidRDefault="00A2081E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6EB1BB7" w14:textId="77777777" w:rsidR="00996E24" w:rsidRDefault="00DE7B7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1198" w14:textId="77777777" w:rsidR="00393CE7" w:rsidRDefault="00CD68A4">
      <w:r>
        <w:separator/>
      </w:r>
    </w:p>
  </w:footnote>
  <w:footnote w:type="continuationSeparator" w:id="0">
    <w:p w14:paraId="4B4E3E24" w14:textId="77777777" w:rsidR="00393CE7" w:rsidRDefault="00CD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B904BB"/>
    <w:multiLevelType w:val="hybridMultilevel"/>
    <w:tmpl w:val="5AFA91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3680"/>
    <w:multiLevelType w:val="multilevel"/>
    <w:tmpl w:val="2B8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B23AB0"/>
    <w:multiLevelType w:val="hybridMultilevel"/>
    <w:tmpl w:val="5C1E3FE0"/>
    <w:lvl w:ilvl="0" w:tplc="042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657A4E9B"/>
    <w:multiLevelType w:val="hybridMultilevel"/>
    <w:tmpl w:val="8B0EF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63CD1"/>
    <w:multiLevelType w:val="multilevel"/>
    <w:tmpl w:val="B3C8B3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7F3B4A9E"/>
    <w:multiLevelType w:val="hybridMultilevel"/>
    <w:tmpl w:val="2D2082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713067290">
    <w:abstractNumId w:val="5"/>
  </w:num>
  <w:num w:numId="2" w16cid:durableId="1737581900">
    <w:abstractNumId w:val="1"/>
  </w:num>
  <w:num w:numId="3" w16cid:durableId="1481075599">
    <w:abstractNumId w:val="0"/>
  </w:num>
  <w:num w:numId="4" w16cid:durableId="1447964558">
    <w:abstractNumId w:val="6"/>
  </w:num>
  <w:num w:numId="5" w16cid:durableId="876770130">
    <w:abstractNumId w:val="4"/>
  </w:num>
  <w:num w:numId="6" w16cid:durableId="56905681">
    <w:abstractNumId w:val="3"/>
  </w:num>
  <w:num w:numId="7" w16cid:durableId="200770607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1E"/>
    <w:rsid w:val="00053BE1"/>
    <w:rsid w:val="001A38D3"/>
    <w:rsid w:val="00337503"/>
    <w:rsid w:val="00347B83"/>
    <w:rsid w:val="00393CE7"/>
    <w:rsid w:val="003A7A21"/>
    <w:rsid w:val="003E21B9"/>
    <w:rsid w:val="004D1FE2"/>
    <w:rsid w:val="005042B1"/>
    <w:rsid w:val="00546622"/>
    <w:rsid w:val="005505AA"/>
    <w:rsid w:val="00554634"/>
    <w:rsid w:val="00566DAB"/>
    <w:rsid w:val="005B78DB"/>
    <w:rsid w:val="006E67C0"/>
    <w:rsid w:val="008D04F6"/>
    <w:rsid w:val="00904BEC"/>
    <w:rsid w:val="00A2081E"/>
    <w:rsid w:val="00AA7CC0"/>
    <w:rsid w:val="00B576F9"/>
    <w:rsid w:val="00C23C50"/>
    <w:rsid w:val="00C32DCE"/>
    <w:rsid w:val="00CD68A4"/>
    <w:rsid w:val="00D26EF2"/>
    <w:rsid w:val="00D47B4E"/>
    <w:rsid w:val="00D54A01"/>
    <w:rsid w:val="00DE7B7C"/>
    <w:rsid w:val="00E437AD"/>
    <w:rsid w:val="00E64D7A"/>
    <w:rsid w:val="00EC2715"/>
    <w:rsid w:val="00EE3A84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DB79"/>
  <w15:chartTrackingRefBased/>
  <w15:docId w15:val="{B1E59F04-F87E-4BDF-9436-9824688B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081E"/>
    <w:pPr>
      <w:spacing w:after="0" w:line="240" w:lineRule="auto"/>
    </w:pPr>
    <w:rPr>
      <w:rFonts w:eastAsia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A2081E"/>
    <w:pPr>
      <w:jc w:val="center"/>
      <w:outlineLvl w:val="0"/>
    </w:pPr>
    <w:rPr>
      <w:b/>
      <w:bCs/>
      <w:sz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2081E"/>
    <w:rPr>
      <w:rFonts w:eastAsia="Times New Roman" w:cs="Times New Roman"/>
      <w:b/>
      <w:bCs/>
      <w:sz w:val="28"/>
      <w:szCs w:val="24"/>
      <w:lang w:val="x-none" w:eastAsia="x-none"/>
    </w:rPr>
  </w:style>
  <w:style w:type="paragraph" w:styleId="Parakstszemobjekta">
    <w:name w:val="caption"/>
    <w:aliases w:val="2.līmenis"/>
    <w:next w:val="Parasts"/>
    <w:link w:val="ParakstszemobjektaRakstz"/>
    <w:qFormat/>
    <w:rsid w:val="00A2081E"/>
    <w:pPr>
      <w:ind w:left="567" w:hanging="567"/>
      <w:jc w:val="both"/>
    </w:pPr>
    <w:rPr>
      <w:rFonts w:eastAsia="Times New Roman" w:cs="Times New Roman"/>
      <w:color w:val="000000"/>
      <w:sz w:val="24"/>
      <w:szCs w:val="24"/>
      <w:lang w:val="x-none" w:eastAsia="x-none"/>
    </w:rPr>
  </w:style>
  <w:style w:type="character" w:customStyle="1" w:styleId="ParakstszemobjektaRakstz">
    <w:name w:val="Paraksts zem objekta Rakstz."/>
    <w:aliases w:val="2.līmenis Rakstz."/>
    <w:link w:val="Parakstszemobjekta"/>
    <w:rsid w:val="00A2081E"/>
    <w:rPr>
      <w:rFonts w:eastAsia="Times New Roman" w:cs="Times New Roman"/>
      <w:color w:val="000000"/>
      <w:sz w:val="24"/>
      <w:szCs w:val="24"/>
      <w:lang w:val="x-none" w:eastAsia="x-none"/>
    </w:rPr>
  </w:style>
  <w:style w:type="paragraph" w:styleId="Kjene">
    <w:name w:val="footer"/>
    <w:basedOn w:val="Parasts"/>
    <w:link w:val="KjeneRakstz"/>
    <w:uiPriority w:val="99"/>
    <w:unhideWhenUsed/>
    <w:rsid w:val="00A2081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2081E"/>
    <w:rPr>
      <w:rFonts w:eastAsia="Times New Roman" w:cs="Times New Roman"/>
      <w:sz w:val="24"/>
      <w:szCs w:val="24"/>
      <w:lang w:val="lv-LV" w:eastAsia="lv-LV"/>
    </w:rPr>
  </w:style>
  <w:style w:type="table" w:styleId="Krsainssarakstsizclums1">
    <w:name w:val="Colorful List Accent 1"/>
    <w:basedOn w:val="Parastatabula"/>
    <w:uiPriority w:val="72"/>
    <w:semiHidden/>
    <w:unhideWhenUsed/>
    <w:rsid w:val="00A20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arakstarindkopa">
    <w:name w:val="List Paragraph"/>
    <w:basedOn w:val="Parasts"/>
    <w:uiPriority w:val="34"/>
    <w:qFormat/>
    <w:rsid w:val="0005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Bauskas siltums</dc:creator>
  <cp:keywords/>
  <dc:description/>
  <cp:lastModifiedBy>Bauskas siltums</cp:lastModifiedBy>
  <cp:revision>14</cp:revision>
  <dcterms:created xsi:type="dcterms:W3CDTF">2020-05-22T13:19:00Z</dcterms:created>
  <dcterms:modified xsi:type="dcterms:W3CDTF">2022-06-27T14:50:00Z</dcterms:modified>
</cp:coreProperties>
</file>